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EC5" w:rsidRPr="00A22EC5" w:rsidRDefault="00A22EC5" w:rsidP="00A22EC5">
      <w:pPr>
        <w:spacing w:before="360" w:after="120" w:line="266" w:lineRule="atLeast"/>
        <w:outlineLvl w:val="2"/>
        <w:rPr>
          <w:rFonts w:ascii="Roboto" w:eastAsia="Times New Roman" w:hAnsi="Roboto" w:cs="Times New Roman"/>
          <w:b/>
          <w:bCs/>
          <w:color w:val="15212A"/>
          <w:sz w:val="39"/>
          <w:szCs w:val="39"/>
        </w:rPr>
      </w:pPr>
      <w:r>
        <w:rPr>
          <w:rFonts w:ascii="Roboto" w:eastAsia="Times New Roman" w:hAnsi="Roboto" w:cs="Times New Roman"/>
          <w:b/>
          <w:bCs/>
          <w:color w:val="15212A"/>
          <w:sz w:val="39"/>
          <w:szCs w:val="39"/>
        </w:rPr>
        <w:t>Mass Deportation—summary from the web site “Tangle”</w:t>
      </w:r>
    </w:p>
    <w:p w:rsidR="00A22EC5" w:rsidRPr="00A22EC5" w:rsidRDefault="00A22EC5" w:rsidP="00A22EC5">
      <w:pPr>
        <w:spacing w:after="360" w:line="384" w:lineRule="atLeast"/>
        <w:rPr>
          <w:rFonts w:ascii="Georgia" w:eastAsia="Times New Roman" w:hAnsi="Georgia" w:cs="Times New Roman"/>
          <w:color w:val="15212A"/>
          <w:sz w:val="27"/>
          <w:szCs w:val="27"/>
        </w:rPr>
      </w:pPr>
      <w:r w:rsidRPr="00A22EC5">
        <w:rPr>
          <w:rFonts w:ascii="Georgia" w:eastAsia="Times New Roman" w:hAnsi="Georgia" w:cs="Times New Roman"/>
          <w:color w:val="15212A"/>
          <w:sz w:val="27"/>
          <w:szCs w:val="27"/>
        </w:rPr>
        <w:t>The Alien Enemies Act. On Saturday, the United States government transferred hundreds of noncitizens and alleged gang members to a detention facility in El Salvador, despite </w:t>
      </w:r>
      <w:hyperlink r:id="rId4" w:tgtFrame="_blank" w:history="1">
        <w:r w:rsidRPr="00A22EC5">
          <w:rPr>
            <w:rFonts w:ascii="Georgia" w:eastAsia="Times New Roman" w:hAnsi="Georgia" w:cs="Times New Roman"/>
            <w:color w:val="154EF2"/>
            <w:sz w:val="27"/>
            <w:szCs w:val="27"/>
            <w:u w:val="single"/>
          </w:rPr>
          <w:t>an order</w:t>
        </w:r>
      </w:hyperlink>
      <w:r w:rsidRPr="00A22EC5">
        <w:rPr>
          <w:rFonts w:ascii="Georgia" w:eastAsia="Times New Roman" w:hAnsi="Georgia" w:cs="Times New Roman"/>
          <w:color w:val="15212A"/>
          <w:sz w:val="27"/>
          <w:szCs w:val="27"/>
        </w:rPr>
        <w:t> from a federal judge blocking the deportation flights. According to Salvadoran President Nayib Bukele, the deportees </w:t>
      </w:r>
      <w:hyperlink r:id="rId5" w:tgtFrame="_blank" w:history="1">
        <w:r w:rsidRPr="00A22EC5">
          <w:rPr>
            <w:rFonts w:ascii="Georgia" w:eastAsia="Times New Roman" w:hAnsi="Georgia" w:cs="Times New Roman"/>
            <w:color w:val="154EF2"/>
            <w:sz w:val="27"/>
            <w:szCs w:val="27"/>
            <w:u w:val="single"/>
          </w:rPr>
          <w:t>were transferred</w:t>
        </w:r>
      </w:hyperlink>
      <w:r w:rsidRPr="00A22EC5">
        <w:rPr>
          <w:rFonts w:ascii="Georgia" w:eastAsia="Times New Roman" w:hAnsi="Georgia" w:cs="Times New Roman"/>
          <w:color w:val="15212A"/>
          <w:sz w:val="27"/>
          <w:szCs w:val="27"/>
        </w:rPr>
        <w:t> on three flights and included 238 alleged members of the Venezuelan prison gang Tren de Aragua (</w:t>
      </w:r>
      <w:proofErr w:type="spellStart"/>
      <w:r w:rsidRPr="00A22EC5">
        <w:rPr>
          <w:rFonts w:ascii="Georgia" w:eastAsia="Times New Roman" w:hAnsi="Georgia" w:cs="Times New Roman"/>
          <w:color w:val="15212A"/>
          <w:sz w:val="27"/>
          <w:szCs w:val="27"/>
        </w:rPr>
        <w:t>TdA</w:t>
      </w:r>
      <w:proofErr w:type="spellEnd"/>
      <w:r w:rsidRPr="00A22EC5">
        <w:rPr>
          <w:rFonts w:ascii="Georgia" w:eastAsia="Times New Roman" w:hAnsi="Georgia" w:cs="Times New Roman"/>
          <w:color w:val="15212A"/>
          <w:sz w:val="27"/>
          <w:szCs w:val="27"/>
        </w:rPr>
        <w:t xml:space="preserve">), as well as 23 alleged members of the street gang Mara </w:t>
      </w:r>
      <w:proofErr w:type="spellStart"/>
      <w:r w:rsidRPr="00A22EC5">
        <w:rPr>
          <w:rFonts w:ascii="Georgia" w:eastAsia="Times New Roman" w:hAnsi="Georgia" w:cs="Times New Roman"/>
          <w:color w:val="15212A"/>
          <w:sz w:val="27"/>
          <w:szCs w:val="27"/>
        </w:rPr>
        <w:t>Salvatrucha</w:t>
      </w:r>
      <w:proofErr w:type="spellEnd"/>
      <w:r w:rsidRPr="00A22EC5">
        <w:rPr>
          <w:rFonts w:ascii="Georgia" w:eastAsia="Times New Roman" w:hAnsi="Georgia" w:cs="Times New Roman"/>
          <w:color w:val="15212A"/>
          <w:sz w:val="27"/>
          <w:szCs w:val="27"/>
        </w:rPr>
        <w:t xml:space="preserve"> 13 (MS-13). President Trump justified their removal by </w:t>
      </w:r>
      <w:hyperlink r:id="rId6" w:tgtFrame="_blank" w:history="1">
        <w:r w:rsidRPr="00A22EC5">
          <w:rPr>
            <w:rFonts w:ascii="Georgia" w:eastAsia="Times New Roman" w:hAnsi="Georgia" w:cs="Times New Roman"/>
            <w:color w:val="154EF2"/>
            <w:sz w:val="27"/>
            <w:szCs w:val="27"/>
            <w:u w:val="single"/>
          </w:rPr>
          <w:t>invoking</w:t>
        </w:r>
      </w:hyperlink>
      <w:r w:rsidRPr="00A22EC5">
        <w:rPr>
          <w:rFonts w:ascii="Georgia" w:eastAsia="Times New Roman" w:hAnsi="Georgia" w:cs="Times New Roman"/>
          <w:color w:val="15212A"/>
          <w:sz w:val="27"/>
          <w:szCs w:val="27"/>
        </w:rPr>
        <w:t> the </w:t>
      </w:r>
      <w:hyperlink r:id="rId7" w:tgtFrame="_blank" w:history="1">
        <w:r w:rsidRPr="00A22EC5">
          <w:rPr>
            <w:rFonts w:ascii="Georgia" w:eastAsia="Times New Roman" w:hAnsi="Georgia" w:cs="Times New Roman"/>
            <w:color w:val="154EF2"/>
            <w:sz w:val="27"/>
            <w:szCs w:val="27"/>
            <w:u w:val="single"/>
          </w:rPr>
          <w:t>Alien Enemies Act of 1798</w:t>
        </w:r>
      </w:hyperlink>
      <w:r w:rsidRPr="00A22EC5">
        <w:rPr>
          <w:rFonts w:ascii="Georgia" w:eastAsia="Times New Roman" w:hAnsi="Georgia" w:cs="Times New Roman"/>
          <w:color w:val="15212A"/>
          <w:sz w:val="27"/>
          <w:szCs w:val="27"/>
        </w:rPr>
        <w:t>; he had previously designated the group a foreign terrorist organization infiltrating the United States. The detainees were sent to the Terrorism Confinement Center (</w:t>
      </w:r>
      <w:hyperlink r:id="rId8" w:tgtFrame="_blank" w:history="1">
        <w:r w:rsidRPr="00A22EC5">
          <w:rPr>
            <w:rFonts w:ascii="Georgia" w:eastAsia="Times New Roman" w:hAnsi="Georgia" w:cs="Times New Roman"/>
            <w:color w:val="154EF2"/>
            <w:sz w:val="27"/>
            <w:szCs w:val="27"/>
            <w:u w:val="single"/>
          </w:rPr>
          <w:t>CECOT</w:t>
        </w:r>
      </w:hyperlink>
      <w:r w:rsidRPr="00A22EC5">
        <w:rPr>
          <w:rFonts w:ascii="Georgia" w:eastAsia="Times New Roman" w:hAnsi="Georgia" w:cs="Times New Roman"/>
          <w:color w:val="15212A"/>
          <w:sz w:val="27"/>
          <w:szCs w:val="27"/>
        </w:rPr>
        <w:t>) in El Salvador; CECOT is the </w:t>
      </w:r>
      <w:hyperlink r:id="rId9" w:tgtFrame="_blank" w:history="1">
        <w:r w:rsidRPr="00A22EC5">
          <w:rPr>
            <w:rFonts w:ascii="Georgia" w:eastAsia="Times New Roman" w:hAnsi="Georgia" w:cs="Times New Roman"/>
            <w:color w:val="154EF2"/>
            <w:sz w:val="27"/>
            <w:szCs w:val="27"/>
            <w:u w:val="single"/>
          </w:rPr>
          <w:t>largest prison facility</w:t>
        </w:r>
      </w:hyperlink>
      <w:r w:rsidRPr="00A22EC5">
        <w:rPr>
          <w:rFonts w:ascii="Georgia" w:eastAsia="Times New Roman" w:hAnsi="Georgia" w:cs="Times New Roman"/>
          <w:color w:val="15212A"/>
          <w:sz w:val="27"/>
          <w:szCs w:val="27"/>
        </w:rPr>
        <w:t> in Central America.</w:t>
      </w:r>
    </w:p>
    <w:p w:rsidR="00A22EC5" w:rsidRPr="00A22EC5" w:rsidRDefault="00A22EC5" w:rsidP="00A22EC5">
      <w:pPr>
        <w:spacing w:after="360" w:line="384" w:lineRule="atLeast"/>
        <w:rPr>
          <w:rFonts w:ascii="Georgia" w:eastAsia="Times New Roman" w:hAnsi="Georgia" w:cs="Times New Roman"/>
          <w:color w:val="15212A"/>
          <w:sz w:val="27"/>
          <w:szCs w:val="27"/>
        </w:rPr>
      </w:pPr>
      <w:r w:rsidRPr="00A22EC5">
        <w:rPr>
          <w:rFonts w:ascii="Georgia" w:eastAsia="Times New Roman" w:hAnsi="Georgia" w:cs="Times New Roman"/>
          <w:b/>
          <w:bCs/>
          <w:color w:val="15212A"/>
          <w:sz w:val="27"/>
          <w:szCs w:val="27"/>
        </w:rPr>
        <w:t>Back up: </w:t>
      </w:r>
      <w:hyperlink r:id="rId10" w:tgtFrame="_blank" w:history="1">
        <w:r w:rsidRPr="00A22EC5">
          <w:rPr>
            <w:rFonts w:ascii="Georgia" w:eastAsia="Times New Roman" w:hAnsi="Georgia" w:cs="Times New Roman"/>
            <w:color w:val="154EF2"/>
            <w:sz w:val="27"/>
            <w:szCs w:val="27"/>
            <w:u w:val="single"/>
          </w:rPr>
          <w:t>The Alien Enemies Act</w:t>
        </w:r>
      </w:hyperlink>
      <w:r w:rsidRPr="00A22EC5">
        <w:rPr>
          <w:rFonts w:ascii="Georgia" w:eastAsia="Times New Roman" w:hAnsi="Georgia" w:cs="Times New Roman"/>
          <w:color w:val="15212A"/>
          <w:sz w:val="27"/>
          <w:szCs w:val="27"/>
        </w:rPr>
        <w:t> is a 1798 law that gives the president the wartime authority to deport any foreign nationals of an enemy nation. The act has been invoked three times in the past, all during declared wars — The War of 1812, World War I, and World War II. </w:t>
      </w:r>
    </w:p>
    <w:p w:rsidR="00A22EC5" w:rsidRPr="00A22EC5" w:rsidRDefault="00A22EC5" w:rsidP="00A22EC5">
      <w:pPr>
        <w:spacing w:after="360" w:line="384" w:lineRule="atLeast"/>
        <w:rPr>
          <w:rFonts w:ascii="Georgia" w:eastAsia="Times New Roman" w:hAnsi="Georgia" w:cs="Times New Roman"/>
          <w:color w:val="15212A"/>
          <w:sz w:val="27"/>
          <w:szCs w:val="27"/>
        </w:rPr>
      </w:pPr>
      <w:r w:rsidRPr="00A22EC5">
        <w:rPr>
          <w:rFonts w:ascii="Georgia" w:eastAsia="Times New Roman" w:hAnsi="Georgia" w:cs="Times New Roman"/>
          <w:color w:val="15212A"/>
          <w:sz w:val="27"/>
          <w:szCs w:val="27"/>
        </w:rPr>
        <w:t>On Friday, the American Civil Liberties Union and Democracy Forward </w:t>
      </w:r>
      <w:hyperlink r:id="rId11" w:tgtFrame="_blank" w:history="1">
        <w:r w:rsidRPr="00A22EC5">
          <w:rPr>
            <w:rFonts w:ascii="Georgia" w:eastAsia="Times New Roman" w:hAnsi="Georgia" w:cs="Times New Roman"/>
            <w:color w:val="154EF2"/>
            <w:sz w:val="27"/>
            <w:szCs w:val="27"/>
            <w:u w:val="single"/>
          </w:rPr>
          <w:t>preemptively sued</w:t>
        </w:r>
      </w:hyperlink>
      <w:r w:rsidRPr="00A22EC5">
        <w:rPr>
          <w:rFonts w:ascii="Georgia" w:eastAsia="Times New Roman" w:hAnsi="Georgia" w:cs="Times New Roman"/>
          <w:color w:val="15212A"/>
          <w:sz w:val="27"/>
          <w:szCs w:val="27"/>
        </w:rPr>
        <w:t> the Trump administration, saying five Venezuelan men being held in Raymondville, TX, were at “imminent risk of removal” under the Alien Enemies Act. A hearing for that case began on Saturday, </w:t>
      </w:r>
      <w:hyperlink r:id="rId12" w:tgtFrame="_blank" w:history="1">
        <w:r w:rsidRPr="00A22EC5">
          <w:rPr>
            <w:rFonts w:ascii="Georgia" w:eastAsia="Times New Roman" w:hAnsi="Georgia" w:cs="Times New Roman"/>
            <w:color w:val="154EF2"/>
            <w:sz w:val="27"/>
            <w:szCs w:val="27"/>
            <w:u w:val="single"/>
          </w:rPr>
          <w:t>immediately following</w:t>
        </w:r>
      </w:hyperlink>
      <w:r w:rsidRPr="00A22EC5">
        <w:rPr>
          <w:rFonts w:ascii="Georgia" w:eastAsia="Times New Roman" w:hAnsi="Georgia" w:cs="Times New Roman"/>
          <w:color w:val="15212A"/>
          <w:sz w:val="27"/>
          <w:szCs w:val="27"/>
        </w:rPr>
        <w:t> President Trump’s proclamation invoking the law. U.S. District Judge James E. Boasberg blocked the deportation order under the president’s justification, however, two of the flights had already departed and the third flight left shortly after. </w:t>
      </w:r>
    </w:p>
    <w:p w:rsidR="00A22EC5" w:rsidRPr="00A22EC5" w:rsidRDefault="00A22EC5" w:rsidP="00A22EC5">
      <w:pPr>
        <w:spacing w:after="360" w:line="384" w:lineRule="atLeast"/>
        <w:rPr>
          <w:rFonts w:ascii="Georgia" w:eastAsia="Times New Roman" w:hAnsi="Georgia" w:cs="Times New Roman"/>
          <w:color w:val="15212A"/>
          <w:sz w:val="27"/>
          <w:szCs w:val="27"/>
        </w:rPr>
      </w:pPr>
      <w:r w:rsidRPr="00A22EC5">
        <w:rPr>
          <w:rFonts w:ascii="Georgia" w:eastAsia="Times New Roman" w:hAnsi="Georgia" w:cs="Times New Roman"/>
          <w:color w:val="15212A"/>
          <w:sz w:val="27"/>
          <w:szCs w:val="27"/>
        </w:rPr>
        <w:t>The Trump administration then began to defend its decision to send the flights. First, the administration </w:t>
      </w:r>
      <w:hyperlink r:id="rId13" w:tgtFrame="_blank" w:history="1">
        <w:r w:rsidRPr="00A22EC5">
          <w:rPr>
            <w:rFonts w:ascii="Georgia" w:eastAsia="Times New Roman" w:hAnsi="Georgia" w:cs="Times New Roman"/>
            <w:color w:val="154EF2"/>
            <w:sz w:val="27"/>
            <w:szCs w:val="27"/>
            <w:u w:val="single"/>
          </w:rPr>
          <w:t>claimed</w:t>
        </w:r>
      </w:hyperlink>
      <w:r w:rsidRPr="00A22EC5">
        <w:rPr>
          <w:rFonts w:ascii="Georgia" w:eastAsia="Times New Roman" w:hAnsi="Georgia" w:cs="Times New Roman"/>
          <w:color w:val="15212A"/>
          <w:sz w:val="27"/>
          <w:szCs w:val="27"/>
        </w:rPr>
        <w:t> that the judge’s written order </w:t>
      </w:r>
      <w:hyperlink r:id="rId14" w:tgtFrame="_blank" w:history="1">
        <w:r w:rsidRPr="00A22EC5">
          <w:rPr>
            <w:rFonts w:ascii="Georgia" w:eastAsia="Times New Roman" w:hAnsi="Georgia" w:cs="Times New Roman"/>
            <w:color w:val="154EF2"/>
            <w:sz w:val="27"/>
            <w:szCs w:val="27"/>
            <w:u w:val="single"/>
          </w:rPr>
          <w:t xml:space="preserve">did not </w:t>
        </w:r>
        <w:r w:rsidRPr="00A22EC5">
          <w:rPr>
            <w:rFonts w:ascii="Georgia" w:eastAsia="Times New Roman" w:hAnsi="Georgia" w:cs="Times New Roman"/>
            <w:color w:val="154EF2"/>
            <w:sz w:val="27"/>
            <w:szCs w:val="27"/>
            <w:u w:val="single"/>
          </w:rPr>
          <w:lastRenderedPageBreak/>
          <w:t>apply</w:t>
        </w:r>
      </w:hyperlink>
      <w:r w:rsidRPr="00A22EC5">
        <w:rPr>
          <w:rFonts w:ascii="Georgia" w:eastAsia="Times New Roman" w:hAnsi="Georgia" w:cs="Times New Roman"/>
          <w:color w:val="15212A"/>
          <w:sz w:val="27"/>
          <w:szCs w:val="27"/>
        </w:rPr>
        <w:t> to the first two flights since they had already departed U.S. soil. Second, the administration </w:t>
      </w:r>
      <w:hyperlink r:id="rId15" w:tgtFrame="_blank" w:history="1">
        <w:r w:rsidRPr="00A22EC5">
          <w:rPr>
            <w:rFonts w:ascii="Georgia" w:eastAsia="Times New Roman" w:hAnsi="Georgia" w:cs="Times New Roman"/>
            <w:color w:val="154EF2"/>
            <w:sz w:val="27"/>
            <w:szCs w:val="27"/>
            <w:u w:val="single"/>
          </w:rPr>
          <w:t>claimed</w:t>
        </w:r>
      </w:hyperlink>
      <w:r w:rsidRPr="00A22EC5">
        <w:rPr>
          <w:rFonts w:ascii="Georgia" w:eastAsia="Times New Roman" w:hAnsi="Georgia" w:cs="Times New Roman"/>
          <w:color w:val="15212A"/>
          <w:sz w:val="27"/>
          <w:szCs w:val="27"/>
        </w:rPr>
        <w:t> that all those aboard the third flight were also under Title 8 deportation orders and therefore not subject to Judge Boasberg’s order — the identities of those deported, and which flights they were on, has not yet been confirmed, though an Immigration and Customs Enforcement official </w:t>
      </w:r>
      <w:hyperlink r:id="rId16" w:tgtFrame="_blank" w:history="1">
        <w:r w:rsidRPr="00A22EC5">
          <w:rPr>
            <w:rFonts w:ascii="Georgia" w:eastAsia="Times New Roman" w:hAnsi="Georgia" w:cs="Times New Roman"/>
            <w:color w:val="154EF2"/>
            <w:sz w:val="27"/>
            <w:szCs w:val="27"/>
            <w:u w:val="single"/>
          </w:rPr>
          <w:t>said</w:t>
        </w:r>
      </w:hyperlink>
      <w:r w:rsidRPr="00A22EC5">
        <w:rPr>
          <w:rFonts w:ascii="Georgia" w:eastAsia="Times New Roman" w:hAnsi="Georgia" w:cs="Times New Roman"/>
          <w:color w:val="15212A"/>
          <w:sz w:val="27"/>
          <w:szCs w:val="27"/>
        </w:rPr>
        <w:t> on Tuesday that many did not have criminal records in the United States.</w:t>
      </w:r>
    </w:p>
    <w:p w:rsidR="00A22EC5" w:rsidRPr="00A22EC5" w:rsidRDefault="00A22EC5" w:rsidP="00A22EC5">
      <w:pPr>
        <w:spacing w:after="360" w:line="384" w:lineRule="atLeast"/>
        <w:rPr>
          <w:rFonts w:ascii="Georgia" w:eastAsia="Times New Roman" w:hAnsi="Georgia" w:cs="Times New Roman"/>
          <w:color w:val="15212A"/>
          <w:sz w:val="27"/>
          <w:szCs w:val="27"/>
        </w:rPr>
      </w:pPr>
      <w:r w:rsidRPr="00A22EC5">
        <w:rPr>
          <w:rFonts w:ascii="Georgia" w:eastAsia="Times New Roman" w:hAnsi="Georgia" w:cs="Times New Roman"/>
          <w:color w:val="15212A"/>
          <w:sz w:val="27"/>
          <w:szCs w:val="27"/>
        </w:rPr>
        <w:t>Third, on Tuesday, President Trump </w:t>
      </w:r>
      <w:hyperlink r:id="rId17" w:tgtFrame="_blank" w:history="1">
        <w:r w:rsidRPr="00A22EC5">
          <w:rPr>
            <w:rFonts w:ascii="Georgia" w:eastAsia="Times New Roman" w:hAnsi="Georgia" w:cs="Times New Roman"/>
            <w:color w:val="154EF2"/>
            <w:sz w:val="27"/>
            <w:szCs w:val="27"/>
            <w:u w:val="single"/>
          </w:rPr>
          <w:t>challenged</w:t>
        </w:r>
      </w:hyperlink>
      <w:r w:rsidRPr="00A22EC5">
        <w:rPr>
          <w:rFonts w:ascii="Georgia" w:eastAsia="Times New Roman" w:hAnsi="Georgia" w:cs="Times New Roman"/>
          <w:color w:val="15212A"/>
          <w:sz w:val="27"/>
          <w:szCs w:val="27"/>
        </w:rPr>
        <w:t> the ruling by pushing to impeach Judge Boasberg. Trump has a history with Boasberg, a district judge in Washington, D.C., who </w:t>
      </w:r>
      <w:hyperlink r:id="rId18" w:tgtFrame="_blank" w:history="1">
        <w:r w:rsidRPr="00A22EC5">
          <w:rPr>
            <w:rFonts w:ascii="Georgia" w:eastAsia="Times New Roman" w:hAnsi="Georgia" w:cs="Times New Roman"/>
            <w:color w:val="154EF2"/>
            <w:sz w:val="27"/>
            <w:szCs w:val="27"/>
            <w:u w:val="single"/>
          </w:rPr>
          <w:t>presided</w:t>
        </w:r>
      </w:hyperlink>
      <w:r w:rsidRPr="00A22EC5">
        <w:rPr>
          <w:rFonts w:ascii="Georgia" w:eastAsia="Times New Roman" w:hAnsi="Georgia" w:cs="Times New Roman"/>
          <w:color w:val="15212A"/>
          <w:sz w:val="27"/>
          <w:szCs w:val="27"/>
        </w:rPr>
        <w:t> over </w:t>
      </w:r>
      <w:hyperlink r:id="rId19" w:tgtFrame="_blank" w:history="1">
        <w:r w:rsidRPr="00A22EC5">
          <w:rPr>
            <w:rFonts w:ascii="Georgia" w:eastAsia="Times New Roman" w:hAnsi="Georgia" w:cs="Times New Roman"/>
            <w:color w:val="154EF2"/>
            <w:sz w:val="27"/>
            <w:szCs w:val="27"/>
            <w:u w:val="single"/>
          </w:rPr>
          <w:t>cases</w:t>
        </w:r>
      </w:hyperlink>
      <w:r w:rsidRPr="00A22EC5">
        <w:rPr>
          <w:rFonts w:ascii="Georgia" w:eastAsia="Times New Roman" w:hAnsi="Georgia" w:cs="Times New Roman"/>
          <w:color w:val="15212A"/>
          <w:sz w:val="27"/>
          <w:szCs w:val="27"/>
        </w:rPr>
        <w:t> during Trump’s challenge to the 2020 election as well as a </w:t>
      </w:r>
      <w:hyperlink r:id="rId20" w:tgtFrame="_blank" w:history="1">
        <w:r w:rsidRPr="00A22EC5">
          <w:rPr>
            <w:rFonts w:ascii="Georgia" w:eastAsia="Times New Roman" w:hAnsi="Georgia" w:cs="Times New Roman"/>
            <w:color w:val="154EF2"/>
            <w:sz w:val="27"/>
            <w:szCs w:val="27"/>
            <w:u w:val="single"/>
          </w:rPr>
          <w:t>challenge from the Trump administration</w:t>
        </w:r>
      </w:hyperlink>
      <w:r w:rsidRPr="00A22EC5">
        <w:rPr>
          <w:rFonts w:ascii="Georgia" w:eastAsia="Times New Roman" w:hAnsi="Georgia" w:cs="Times New Roman"/>
          <w:color w:val="15212A"/>
          <w:sz w:val="27"/>
          <w:szCs w:val="27"/>
        </w:rPr>
        <w:t> over the Justice Department’s gathering of information in a case alleging Trump’s collusion with Russia. Over the weekend, Rep. Brandon Gill (R-TX) </w:t>
      </w:r>
      <w:hyperlink r:id="rId21" w:tgtFrame="_blank" w:history="1">
        <w:r w:rsidRPr="00A22EC5">
          <w:rPr>
            <w:rFonts w:ascii="Georgia" w:eastAsia="Times New Roman" w:hAnsi="Georgia" w:cs="Times New Roman"/>
            <w:color w:val="154EF2"/>
            <w:sz w:val="27"/>
            <w:szCs w:val="27"/>
            <w:u w:val="single"/>
          </w:rPr>
          <w:t>introduced</w:t>
        </w:r>
      </w:hyperlink>
      <w:r w:rsidRPr="00A22EC5">
        <w:rPr>
          <w:rFonts w:ascii="Georgia" w:eastAsia="Times New Roman" w:hAnsi="Georgia" w:cs="Times New Roman"/>
          <w:color w:val="15212A"/>
          <w:sz w:val="27"/>
          <w:szCs w:val="27"/>
        </w:rPr>
        <w:t> articles of impeachment for Judge Boasberg. </w:t>
      </w:r>
    </w:p>
    <w:p w:rsidR="00A22EC5" w:rsidRPr="00A22EC5" w:rsidRDefault="00A22EC5" w:rsidP="00A22EC5">
      <w:pPr>
        <w:spacing w:after="360" w:line="384" w:lineRule="atLeast"/>
        <w:rPr>
          <w:rFonts w:ascii="Georgia" w:eastAsia="Times New Roman" w:hAnsi="Georgia" w:cs="Times New Roman"/>
          <w:color w:val="15212A"/>
          <w:sz w:val="27"/>
          <w:szCs w:val="27"/>
        </w:rPr>
      </w:pPr>
      <w:r w:rsidRPr="00A22EC5">
        <w:rPr>
          <w:rFonts w:ascii="Georgia" w:eastAsia="Times New Roman" w:hAnsi="Georgia" w:cs="Times New Roman"/>
          <w:color w:val="15212A"/>
          <w:sz w:val="27"/>
          <w:szCs w:val="27"/>
        </w:rPr>
        <w:t>The proposal, along with the president’s message, prompted a rare public comment from Supreme Court Chief Justice John Roberts. “For more than two centuries, it has been established that impeachment is not an appropriate response to disagreement concerning a judicial decision. The normal appellate review process exists for that purpose,” Justice Roberts </w:t>
      </w:r>
      <w:hyperlink r:id="rId22" w:tgtFrame="_blank" w:history="1">
        <w:r w:rsidRPr="00A22EC5">
          <w:rPr>
            <w:rFonts w:ascii="Georgia" w:eastAsia="Times New Roman" w:hAnsi="Georgia" w:cs="Times New Roman"/>
            <w:color w:val="154EF2"/>
            <w:sz w:val="27"/>
            <w:szCs w:val="27"/>
            <w:u w:val="single"/>
          </w:rPr>
          <w:t>said in a statement</w:t>
        </w:r>
      </w:hyperlink>
      <w:r w:rsidRPr="00A22EC5">
        <w:rPr>
          <w:rFonts w:ascii="Georgia" w:eastAsia="Times New Roman" w:hAnsi="Georgia" w:cs="Times New Roman"/>
          <w:color w:val="15212A"/>
          <w:sz w:val="27"/>
          <w:szCs w:val="27"/>
        </w:rPr>
        <w:t> released on Tuesday.</w:t>
      </w:r>
    </w:p>
    <w:p w:rsidR="00A22EC5" w:rsidRPr="00A22EC5" w:rsidRDefault="00A22EC5" w:rsidP="00A22EC5">
      <w:pPr>
        <w:spacing w:after="360" w:line="384" w:lineRule="atLeast"/>
        <w:rPr>
          <w:rFonts w:ascii="Georgia" w:eastAsia="Times New Roman" w:hAnsi="Georgia" w:cs="Times New Roman"/>
          <w:color w:val="15212A"/>
          <w:sz w:val="27"/>
          <w:szCs w:val="27"/>
        </w:rPr>
      </w:pPr>
      <w:r w:rsidRPr="00A22EC5">
        <w:rPr>
          <w:rFonts w:ascii="Georgia" w:eastAsia="Times New Roman" w:hAnsi="Georgia" w:cs="Times New Roman"/>
          <w:color w:val="15212A"/>
          <w:sz w:val="27"/>
          <w:szCs w:val="27"/>
        </w:rPr>
        <w:t>Today, we’ll share arguments from the right and left about the legal fight over the deportations. Then, my take.</w:t>
      </w:r>
    </w:p>
    <w:p w:rsidR="00C547B9" w:rsidRDefault="00C547B9"/>
    <w:sectPr w:rsidR="00C547B9" w:rsidSect="00A01AC4">
      <w:pgSz w:w="12240" w:h="15840"/>
      <w:pgMar w:top="1452" w:right="1442" w:bottom="1613" w:left="144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C5"/>
    <w:rsid w:val="00326E39"/>
    <w:rsid w:val="006F1317"/>
    <w:rsid w:val="00A01AC4"/>
    <w:rsid w:val="00A22EC5"/>
    <w:rsid w:val="00C547B9"/>
    <w:rsid w:val="00F5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42FEF4"/>
  <w15:chartTrackingRefBased/>
  <w15:docId w15:val="{20F1CF5D-B12B-E44C-B434-29AFDB1A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E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E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2E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E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E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E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E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E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E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E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E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2E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E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E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EC5"/>
    <w:rPr>
      <w:rFonts w:eastAsiaTheme="majorEastAsia" w:cstheme="majorBidi"/>
      <w:color w:val="272727" w:themeColor="text1" w:themeTint="D8"/>
    </w:rPr>
  </w:style>
  <w:style w:type="paragraph" w:styleId="Title">
    <w:name w:val="Title"/>
    <w:basedOn w:val="Normal"/>
    <w:next w:val="Normal"/>
    <w:link w:val="TitleChar"/>
    <w:uiPriority w:val="10"/>
    <w:qFormat/>
    <w:rsid w:val="00A22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E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E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2EC5"/>
    <w:rPr>
      <w:i/>
      <w:iCs/>
      <w:color w:val="404040" w:themeColor="text1" w:themeTint="BF"/>
    </w:rPr>
  </w:style>
  <w:style w:type="paragraph" w:styleId="ListParagraph">
    <w:name w:val="List Paragraph"/>
    <w:basedOn w:val="Normal"/>
    <w:uiPriority w:val="34"/>
    <w:qFormat/>
    <w:rsid w:val="00A22EC5"/>
    <w:pPr>
      <w:ind w:left="720"/>
      <w:contextualSpacing/>
    </w:pPr>
  </w:style>
  <w:style w:type="character" w:styleId="IntenseEmphasis">
    <w:name w:val="Intense Emphasis"/>
    <w:basedOn w:val="DefaultParagraphFont"/>
    <w:uiPriority w:val="21"/>
    <w:qFormat/>
    <w:rsid w:val="00A22EC5"/>
    <w:rPr>
      <w:i/>
      <w:iCs/>
      <w:color w:val="2F5496" w:themeColor="accent1" w:themeShade="BF"/>
    </w:rPr>
  </w:style>
  <w:style w:type="paragraph" w:styleId="IntenseQuote">
    <w:name w:val="Intense Quote"/>
    <w:basedOn w:val="Normal"/>
    <w:next w:val="Normal"/>
    <w:link w:val="IntenseQuoteChar"/>
    <w:uiPriority w:val="30"/>
    <w:qFormat/>
    <w:rsid w:val="00A22E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EC5"/>
    <w:rPr>
      <w:i/>
      <w:iCs/>
      <w:color w:val="2F5496" w:themeColor="accent1" w:themeShade="BF"/>
    </w:rPr>
  </w:style>
  <w:style w:type="character" w:styleId="IntenseReference">
    <w:name w:val="Intense Reference"/>
    <w:basedOn w:val="DefaultParagraphFont"/>
    <w:uiPriority w:val="32"/>
    <w:qFormat/>
    <w:rsid w:val="00A22EC5"/>
    <w:rPr>
      <w:b/>
      <w:bCs/>
      <w:smallCaps/>
      <w:color w:val="2F5496" w:themeColor="accent1" w:themeShade="BF"/>
      <w:spacing w:val="5"/>
    </w:rPr>
  </w:style>
  <w:style w:type="character" w:customStyle="1" w:styleId="apple-converted-space">
    <w:name w:val="apple-converted-space"/>
    <w:basedOn w:val="DefaultParagraphFont"/>
    <w:rsid w:val="00A22EC5"/>
  </w:style>
  <w:style w:type="paragraph" w:styleId="NormalWeb">
    <w:name w:val="Normal (Web)"/>
    <w:basedOn w:val="Normal"/>
    <w:uiPriority w:val="99"/>
    <w:semiHidden/>
    <w:unhideWhenUsed/>
    <w:rsid w:val="00A22EC5"/>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A22EC5"/>
    <w:rPr>
      <w:color w:val="0000FF"/>
      <w:u w:val="single"/>
    </w:rPr>
  </w:style>
  <w:style w:type="character" w:styleId="Strong">
    <w:name w:val="Strong"/>
    <w:basedOn w:val="DefaultParagraphFont"/>
    <w:uiPriority w:val="22"/>
    <w:qFormat/>
    <w:rsid w:val="00A22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8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tangle.com/r/34fdd153?m=f2760cb5-9492-4316-8d4b-b9e17b5aa387" TargetMode="External"/><Relationship Id="rId13" Type="http://schemas.openxmlformats.org/officeDocument/2006/relationships/hyperlink" Target="https://www.readtangle.com/r/3d708623?m=f2760cb5-9492-4316-8d4b-b9e17b5aa387" TargetMode="External"/><Relationship Id="rId18" Type="http://schemas.openxmlformats.org/officeDocument/2006/relationships/hyperlink" Target="https://www.readtangle.com/r/e7464f08?m=f2760cb5-9492-4316-8d4b-b9e17b5aa387" TargetMode="External"/><Relationship Id="rId3" Type="http://schemas.openxmlformats.org/officeDocument/2006/relationships/webSettings" Target="webSettings.xml"/><Relationship Id="rId21" Type="http://schemas.openxmlformats.org/officeDocument/2006/relationships/hyperlink" Target="https://www.readtangle.com/r/239fbf53?m=f2760cb5-9492-4316-8d4b-b9e17b5aa387" TargetMode="External"/><Relationship Id="rId7" Type="http://schemas.openxmlformats.org/officeDocument/2006/relationships/hyperlink" Target="https://www.readtangle.com/r/a5f4791e?m=f2760cb5-9492-4316-8d4b-b9e17b5aa387" TargetMode="External"/><Relationship Id="rId12" Type="http://schemas.openxmlformats.org/officeDocument/2006/relationships/hyperlink" Target="https://www.readtangle.com/r/78e106fe?m=f2760cb5-9492-4316-8d4b-b9e17b5aa387" TargetMode="External"/><Relationship Id="rId17" Type="http://schemas.openxmlformats.org/officeDocument/2006/relationships/hyperlink" Target="https://www.readtangle.com/r/4a710f54?m=f2760cb5-9492-4316-8d4b-b9e17b5aa387" TargetMode="External"/><Relationship Id="rId2" Type="http://schemas.openxmlformats.org/officeDocument/2006/relationships/settings" Target="settings.xml"/><Relationship Id="rId16" Type="http://schemas.openxmlformats.org/officeDocument/2006/relationships/hyperlink" Target="https://www.readtangle.com/r/34257d83?m=f2760cb5-9492-4316-8d4b-b9e17b5aa387" TargetMode="External"/><Relationship Id="rId20" Type="http://schemas.openxmlformats.org/officeDocument/2006/relationships/hyperlink" Target="https://www.readtangle.com/r/c6d19208?m=f2760cb5-9492-4316-8d4b-b9e17b5aa387" TargetMode="External"/><Relationship Id="rId1" Type="http://schemas.openxmlformats.org/officeDocument/2006/relationships/styles" Target="styles.xml"/><Relationship Id="rId6" Type="http://schemas.openxmlformats.org/officeDocument/2006/relationships/hyperlink" Target="https://www.readtangle.com/r/2a6621bb?m=f2760cb5-9492-4316-8d4b-b9e17b5aa387" TargetMode="External"/><Relationship Id="rId11" Type="http://schemas.openxmlformats.org/officeDocument/2006/relationships/hyperlink" Target="https://www.readtangle.com/r/45b1edce?m=f2760cb5-9492-4316-8d4b-b9e17b5aa387" TargetMode="External"/><Relationship Id="rId24" Type="http://schemas.openxmlformats.org/officeDocument/2006/relationships/theme" Target="theme/theme1.xml"/><Relationship Id="rId5" Type="http://schemas.openxmlformats.org/officeDocument/2006/relationships/hyperlink" Target="https://www.readtangle.com/r/a8860abe?m=f2760cb5-9492-4316-8d4b-b9e17b5aa387" TargetMode="External"/><Relationship Id="rId15" Type="http://schemas.openxmlformats.org/officeDocument/2006/relationships/hyperlink" Target="https://www.readtangle.com/r/2f79083c?m=f2760cb5-9492-4316-8d4b-b9e17b5aa387" TargetMode="External"/><Relationship Id="rId23" Type="http://schemas.openxmlformats.org/officeDocument/2006/relationships/fontTable" Target="fontTable.xml"/><Relationship Id="rId10" Type="http://schemas.openxmlformats.org/officeDocument/2006/relationships/hyperlink" Target="https://www.readtangle.com/r/3a440dba?m=f2760cb5-9492-4316-8d4b-b9e17b5aa387" TargetMode="External"/><Relationship Id="rId19" Type="http://schemas.openxmlformats.org/officeDocument/2006/relationships/hyperlink" Target="https://www.readtangle.com/r/02d4e35d?m=f2760cb5-9492-4316-8d4b-b9e17b5aa387" TargetMode="External"/><Relationship Id="rId4" Type="http://schemas.openxmlformats.org/officeDocument/2006/relationships/hyperlink" Target="https://www.readtangle.com/r/e548c851?m=f2760cb5-9492-4316-8d4b-b9e17b5aa387" TargetMode="External"/><Relationship Id="rId9" Type="http://schemas.openxmlformats.org/officeDocument/2006/relationships/hyperlink" Target="https://www.readtangle.com/r/e72b657a?m=f2760cb5-9492-4316-8d4b-b9e17b5aa387" TargetMode="External"/><Relationship Id="rId14" Type="http://schemas.openxmlformats.org/officeDocument/2006/relationships/hyperlink" Target="https://www.readtangle.com/r/a67b325a?m=f2760cb5-9492-4316-8d4b-b9e17b5aa387" TargetMode="External"/><Relationship Id="rId22" Type="http://schemas.openxmlformats.org/officeDocument/2006/relationships/hyperlink" Target="https://www.readtangle.com/r/a0bc6f8c?m=f2760cb5-9492-4316-8d4b-b9e17b5aa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Krasner</dc:creator>
  <cp:keywords/>
  <dc:description/>
  <cp:lastModifiedBy>Michael Krasner</cp:lastModifiedBy>
  <cp:revision>1</cp:revision>
  <dcterms:created xsi:type="dcterms:W3CDTF">2025-04-06T19:30:00Z</dcterms:created>
  <dcterms:modified xsi:type="dcterms:W3CDTF">2025-04-06T19:40:00Z</dcterms:modified>
</cp:coreProperties>
</file>